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654A5" w14:textId="77777777" w:rsidR="000374E3" w:rsidRDefault="000374E3" w:rsidP="000374E3">
      <w:pPr>
        <w:spacing w:line="540" w:lineRule="exact"/>
        <w:jc w:val="center"/>
        <w:rPr>
          <w:rFonts w:ascii="方正小标宋简体" w:eastAsia="方正小标宋简体" w:hAnsi="方正小标宋简体" w:cs="方正小标宋简体" w:hint="eastAsia"/>
          <w:bCs/>
          <w:color w:val="000000" w:themeColor="text1"/>
          <w:sz w:val="44"/>
          <w:szCs w:val="44"/>
        </w:rPr>
      </w:pPr>
    </w:p>
    <w:p w14:paraId="4C89FEE7" w14:textId="77777777" w:rsidR="000374E3" w:rsidRDefault="000374E3" w:rsidP="000374E3">
      <w:pPr>
        <w:spacing w:line="540" w:lineRule="exact"/>
        <w:jc w:val="center"/>
        <w:rPr>
          <w:rFonts w:ascii="方正小标宋简体" w:eastAsia="方正小标宋简体" w:hAnsi="方正小标宋简体" w:cs="方正小标宋简体" w:hint="eastAsia"/>
          <w:bCs/>
          <w:color w:val="000000" w:themeColor="text1"/>
          <w:sz w:val="44"/>
          <w:szCs w:val="44"/>
        </w:rPr>
      </w:pPr>
    </w:p>
    <w:p w14:paraId="6504D043" w14:textId="77777777" w:rsidR="000374E3" w:rsidRDefault="000374E3" w:rsidP="000374E3">
      <w:pPr>
        <w:spacing w:line="540" w:lineRule="exact"/>
        <w:jc w:val="center"/>
        <w:rPr>
          <w:rFonts w:ascii="方正小标宋简体" w:eastAsia="方正小标宋简体" w:hAnsi="方正小标宋简体" w:cs="方正小标宋简体" w:hint="eastAsia"/>
          <w:bCs/>
          <w:color w:val="000000" w:themeColor="text1"/>
          <w:sz w:val="44"/>
          <w:szCs w:val="44"/>
        </w:rPr>
      </w:pPr>
    </w:p>
    <w:p w14:paraId="04B68D35" w14:textId="77777777" w:rsidR="000374E3" w:rsidRDefault="000374E3" w:rsidP="000374E3">
      <w:pPr>
        <w:spacing w:line="540" w:lineRule="exact"/>
        <w:jc w:val="center"/>
        <w:rPr>
          <w:rFonts w:ascii="方正小标宋简体" w:eastAsia="方正小标宋简体" w:hAnsi="方正小标宋简体" w:cs="方正小标宋简体" w:hint="eastAsia"/>
          <w:bCs/>
          <w:color w:val="000000" w:themeColor="text1"/>
          <w:sz w:val="44"/>
          <w:szCs w:val="44"/>
        </w:rPr>
      </w:pPr>
    </w:p>
    <w:p w14:paraId="6A53EF30" w14:textId="77777777" w:rsidR="000374E3" w:rsidRDefault="000374E3" w:rsidP="000374E3">
      <w:pPr>
        <w:spacing w:line="560" w:lineRule="exact"/>
        <w:jc w:val="center"/>
        <w:rPr>
          <w:rFonts w:ascii="方正小标宋简体" w:eastAsia="方正小标宋简体" w:hAnsi="方正小标宋简体" w:cs="方正小标宋简体" w:hint="eastAsia"/>
          <w:bCs/>
          <w:color w:val="000000" w:themeColor="text1"/>
          <w:sz w:val="44"/>
          <w:szCs w:val="44"/>
        </w:rPr>
      </w:pPr>
      <w:r>
        <w:rPr>
          <w:rFonts w:ascii="方正小标宋简体" w:eastAsia="方正小标宋简体" w:hAnsi="方正小标宋简体" w:cs="方正小标宋简体" w:hint="eastAsia"/>
          <w:bCs/>
          <w:color w:val="000000" w:themeColor="text1"/>
          <w:sz w:val="44"/>
          <w:szCs w:val="44"/>
        </w:rPr>
        <w:t>自治区文化和旅游厅关于党组理论学习</w:t>
      </w:r>
    </w:p>
    <w:p w14:paraId="310BE279" w14:textId="77777777" w:rsidR="000374E3" w:rsidRDefault="000374E3" w:rsidP="000374E3">
      <w:pPr>
        <w:spacing w:line="560" w:lineRule="exact"/>
        <w:jc w:val="center"/>
        <w:rPr>
          <w:rFonts w:ascii="方正小标宋简体" w:eastAsia="方正小标宋简体" w:hAnsi="方正小标宋简体" w:cs="方正小标宋简体" w:hint="eastAsia"/>
          <w:bCs/>
          <w:color w:val="000000" w:themeColor="text1"/>
          <w:sz w:val="44"/>
          <w:szCs w:val="44"/>
        </w:rPr>
      </w:pPr>
      <w:r>
        <w:rPr>
          <w:rFonts w:ascii="方正小标宋简体" w:eastAsia="方正小标宋简体" w:hAnsi="方正小标宋简体" w:cs="方正小标宋简体" w:hint="eastAsia"/>
          <w:bCs/>
          <w:color w:val="000000" w:themeColor="text1"/>
          <w:sz w:val="44"/>
          <w:szCs w:val="44"/>
        </w:rPr>
        <w:t>中心组</w:t>
      </w:r>
      <w:r>
        <w:rPr>
          <w:rFonts w:ascii="方正小标宋简体" w:eastAsia="方正小标宋简体" w:hAnsi="方正小标宋简体" w:cs="方正小标宋简体"/>
          <w:bCs/>
          <w:color w:val="000000" w:themeColor="text1"/>
          <w:sz w:val="44"/>
          <w:szCs w:val="44"/>
        </w:rPr>
        <w:t>2022</w:t>
      </w:r>
      <w:r>
        <w:rPr>
          <w:rFonts w:ascii="方正小标宋简体" w:eastAsia="方正小标宋简体" w:hAnsi="方正小标宋简体" w:cs="方正小标宋简体" w:hint="eastAsia"/>
          <w:bCs/>
          <w:color w:val="000000" w:themeColor="text1"/>
          <w:sz w:val="44"/>
          <w:szCs w:val="44"/>
        </w:rPr>
        <w:t>年学习情况的报告</w:t>
      </w:r>
    </w:p>
    <w:p w14:paraId="2FFC1439" w14:textId="77777777" w:rsidR="000374E3" w:rsidRDefault="000374E3" w:rsidP="000374E3">
      <w:pPr>
        <w:spacing w:line="560" w:lineRule="exact"/>
        <w:rPr>
          <w:rFonts w:ascii="仿宋" w:eastAsia="仿宋" w:hAnsi="仿宋" w:cs="仿宋" w:hint="eastAsia"/>
          <w:color w:val="000000" w:themeColor="text1"/>
          <w:sz w:val="32"/>
          <w:szCs w:val="32"/>
        </w:rPr>
      </w:pPr>
    </w:p>
    <w:p w14:paraId="74A0A77F" w14:textId="77777777" w:rsidR="000374E3" w:rsidRDefault="000374E3" w:rsidP="000374E3">
      <w:pPr>
        <w:spacing w:line="560" w:lineRule="exact"/>
        <w:rPr>
          <w:rFonts w:ascii="仿宋" w:eastAsia="仿宋" w:hAnsi="仿宋" w:cs="仿宋" w:hint="eastAsia"/>
          <w:color w:val="000000" w:themeColor="text1"/>
          <w:sz w:val="32"/>
          <w:szCs w:val="32"/>
        </w:rPr>
      </w:pPr>
      <w:r>
        <w:rPr>
          <w:rFonts w:ascii="仿宋" w:eastAsia="仿宋" w:hAnsi="仿宋" w:cs="仿宋" w:hint="eastAsia"/>
          <w:color w:val="000000" w:themeColor="text1"/>
          <w:sz w:val="32"/>
          <w:szCs w:val="32"/>
        </w:rPr>
        <w:t>自治区直属机关工委：</w:t>
      </w:r>
    </w:p>
    <w:p w14:paraId="52469657" w14:textId="77777777" w:rsidR="000374E3" w:rsidRDefault="000374E3" w:rsidP="000374E3">
      <w:pPr>
        <w:spacing w:line="560" w:lineRule="exact"/>
        <w:ind w:firstLineChars="200" w:firstLine="655"/>
        <w:rPr>
          <w:rFonts w:ascii="仿宋" w:eastAsia="仿宋" w:hAnsi="仿宋" w:cs="仿宋" w:hint="eastAsia"/>
          <w:color w:val="000000" w:themeColor="text1"/>
          <w:sz w:val="32"/>
          <w:szCs w:val="32"/>
        </w:rPr>
      </w:pPr>
      <w:r>
        <w:rPr>
          <w:rFonts w:ascii="仿宋" w:eastAsia="仿宋" w:hAnsi="仿宋" w:cs="仿宋" w:hint="eastAsia"/>
          <w:color w:val="000000" w:themeColor="text1"/>
          <w:sz w:val="32"/>
          <w:szCs w:val="32"/>
        </w:rPr>
        <w:t>按照要求，自治区文化和旅游厅对2</w:t>
      </w:r>
      <w:r>
        <w:rPr>
          <w:rFonts w:ascii="仿宋" w:eastAsia="仿宋" w:hAnsi="仿宋" w:cs="仿宋"/>
          <w:color w:val="000000" w:themeColor="text1"/>
          <w:sz w:val="32"/>
          <w:szCs w:val="32"/>
        </w:rPr>
        <w:t>022</w:t>
      </w:r>
      <w:r>
        <w:rPr>
          <w:rFonts w:ascii="仿宋" w:eastAsia="仿宋" w:hAnsi="仿宋" w:cs="仿宋" w:hint="eastAsia"/>
          <w:color w:val="000000" w:themeColor="text1"/>
          <w:sz w:val="32"/>
          <w:szCs w:val="32"/>
        </w:rPr>
        <w:t>年党组理论学习中心组学习情况报告如下：</w:t>
      </w:r>
    </w:p>
    <w:p w14:paraId="79027453" w14:textId="77777777" w:rsidR="000374E3" w:rsidRDefault="000374E3" w:rsidP="000374E3">
      <w:pPr>
        <w:spacing w:line="560" w:lineRule="exact"/>
        <w:ind w:firstLineChars="200" w:firstLine="655"/>
        <w:rPr>
          <w:rFonts w:ascii="仿宋" w:eastAsia="仿宋" w:hAnsi="仿宋" w:cs="仿宋" w:hint="eastAsia"/>
          <w:color w:val="000000" w:themeColor="text1"/>
          <w:sz w:val="32"/>
          <w:szCs w:val="32"/>
        </w:rPr>
      </w:pPr>
      <w:r>
        <w:rPr>
          <w:rFonts w:ascii="黑体" w:eastAsia="黑体" w:hAnsi="黑体" w:cs="黑体" w:hint="eastAsia"/>
          <w:color w:val="000000" w:themeColor="text1"/>
          <w:sz w:val="32"/>
          <w:szCs w:val="32"/>
        </w:rPr>
        <w:t>一、学习情况</w:t>
      </w:r>
      <w:r>
        <w:rPr>
          <w:rFonts w:ascii="仿宋" w:eastAsia="仿宋" w:hAnsi="仿宋" w:cs="仿宋" w:hint="eastAsia"/>
          <w:color w:val="000000" w:themeColor="text1"/>
          <w:sz w:val="32"/>
          <w:szCs w:val="32"/>
        </w:rPr>
        <w:t xml:space="preserve">   </w:t>
      </w:r>
    </w:p>
    <w:p w14:paraId="6E35837E" w14:textId="77777777" w:rsidR="000374E3" w:rsidRDefault="000374E3" w:rsidP="000374E3">
      <w:pPr>
        <w:spacing w:line="560" w:lineRule="exact"/>
        <w:ind w:firstLine="655"/>
        <w:rPr>
          <w:rFonts w:ascii="仿宋" w:eastAsia="仿宋" w:hAnsi="仿宋" w:cs="仿宋" w:hint="eastAsia"/>
          <w:bCs/>
          <w:color w:val="000000" w:themeColor="text1"/>
          <w:sz w:val="32"/>
          <w:szCs w:val="32"/>
        </w:rPr>
      </w:pPr>
      <w:r>
        <w:rPr>
          <w:rFonts w:ascii="仿宋" w:eastAsia="仿宋" w:hAnsi="仿宋" w:cs="仿宋" w:hint="eastAsia"/>
          <w:color w:val="000000" w:themeColor="text1"/>
          <w:sz w:val="32"/>
          <w:szCs w:val="32"/>
        </w:rPr>
        <w:t>厅党组高度重视党组中心组学习，深入推进理论武装工作，</w:t>
      </w:r>
      <w:r>
        <w:rPr>
          <w:rFonts w:ascii="仿宋" w:eastAsia="仿宋" w:hAnsi="仿宋" w:cs="仿宋" w:hint="eastAsia"/>
          <w:bCs/>
          <w:color w:val="000000" w:themeColor="text1"/>
          <w:sz w:val="32"/>
          <w:szCs w:val="32"/>
        </w:rPr>
        <w:t>不断提高增强“四个意识”、坚定“四个自信”、做到“两个维护”的自觉性和主动性，</w:t>
      </w:r>
      <w:r>
        <w:rPr>
          <w:rFonts w:ascii="仿宋" w:eastAsia="仿宋" w:hAnsi="仿宋" w:cs="仿宋" w:hint="eastAsia"/>
          <w:color w:val="000000" w:themeColor="text1"/>
          <w:sz w:val="32"/>
          <w:szCs w:val="32"/>
        </w:rPr>
        <w:t>把党组中心组理论学习作为领导班子和领导干部学习理论、加强思想政治建设的重要形式和基本途径。</w:t>
      </w:r>
      <w:r>
        <w:rPr>
          <w:rFonts w:ascii="仿宋" w:eastAsia="仿宋" w:hAnsi="仿宋" w:cs="仿宋" w:hint="eastAsia"/>
          <w:bCs/>
          <w:color w:val="000000" w:themeColor="text1"/>
          <w:sz w:val="32"/>
          <w:szCs w:val="32"/>
        </w:rPr>
        <w:t>围绕党的二十大</w:t>
      </w:r>
      <w:r>
        <w:rPr>
          <w:rFonts w:ascii="仿宋" w:eastAsia="仿宋" w:hAnsi="仿宋" w:cs="仿宋"/>
          <w:bCs/>
          <w:color w:val="000000" w:themeColor="text1"/>
          <w:sz w:val="32"/>
          <w:szCs w:val="32"/>
        </w:rPr>
        <w:t>精神</w:t>
      </w:r>
      <w:r>
        <w:rPr>
          <w:rFonts w:ascii="仿宋" w:eastAsia="仿宋" w:hAnsi="仿宋" w:cs="仿宋" w:hint="eastAsia"/>
          <w:bCs/>
          <w:color w:val="000000" w:themeColor="text1"/>
          <w:sz w:val="32"/>
          <w:szCs w:val="32"/>
        </w:rPr>
        <w:t>以及习近平总书记对内蒙古工作、对文化和旅游工作、对民族工作等系列重要讲话精神，着力在加强理论武装、严格对标对表、砥砺初心使命上持续下功夫。厅党组理论学习</w:t>
      </w:r>
      <w:r>
        <w:rPr>
          <w:rFonts w:ascii="仿宋" w:eastAsia="仿宋" w:hAnsi="仿宋" w:cs="仿宋"/>
          <w:bCs/>
          <w:color w:val="000000" w:themeColor="text1"/>
          <w:sz w:val="32"/>
          <w:szCs w:val="32"/>
        </w:rPr>
        <w:t>中心组</w:t>
      </w:r>
      <w:r>
        <w:rPr>
          <w:rFonts w:ascii="仿宋" w:eastAsia="仿宋" w:hAnsi="仿宋" w:cs="仿宋" w:hint="eastAsia"/>
          <w:bCs/>
          <w:color w:val="000000" w:themeColor="text1"/>
          <w:sz w:val="32"/>
          <w:szCs w:val="32"/>
        </w:rPr>
        <w:t>集体研讨交流</w:t>
      </w:r>
      <w:r>
        <w:rPr>
          <w:rFonts w:ascii="仿宋" w:eastAsia="仿宋" w:hAnsi="仿宋" w:cs="仿宋"/>
          <w:bCs/>
          <w:color w:val="000000" w:themeColor="text1"/>
          <w:sz w:val="32"/>
          <w:szCs w:val="32"/>
        </w:rPr>
        <w:t>9</w:t>
      </w:r>
      <w:r>
        <w:rPr>
          <w:rFonts w:ascii="仿宋" w:eastAsia="仿宋" w:hAnsi="仿宋" w:cs="仿宋" w:hint="eastAsia"/>
          <w:bCs/>
          <w:color w:val="000000" w:themeColor="text1"/>
          <w:sz w:val="32"/>
          <w:szCs w:val="32"/>
        </w:rPr>
        <w:t>次、专题讲座</w:t>
      </w:r>
      <w:r>
        <w:rPr>
          <w:rFonts w:ascii="仿宋" w:eastAsia="仿宋" w:hAnsi="仿宋" w:cs="仿宋"/>
          <w:bCs/>
          <w:color w:val="000000" w:themeColor="text1"/>
          <w:sz w:val="32"/>
          <w:szCs w:val="32"/>
        </w:rPr>
        <w:t>4</w:t>
      </w:r>
      <w:r>
        <w:rPr>
          <w:rFonts w:ascii="仿宋" w:eastAsia="仿宋" w:hAnsi="仿宋" w:cs="仿宋" w:hint="eastAsia"/>
          <w:bCs/>
          <w:color w:val="000000" w:themeColor="text1"/>
          <w:sz w:val="32"/>
          <w:szCs w:val="32"/>
        </w:rPr>
        <w:t>次，党组成员撰写研讨材料</w:t>
      </w:r>
      <w:r>
        <w:rPr>
          <w:rFonts w:ascii="仿宋" w:eastAsia="仿宋" w:hAnsi="仿宋" w:cs="仿宋"/>
          <w:bCs/>
          <w:color w:val="000000" w:themeColor="text1"/>
          <w:sz w:val="32"/>
          <w:szCs w:val="32"/>
        </w:rPr>
        <w:t>55</w:t>
      </w:r>
      <w:r>
        <w:rPr>
          <w:rFonts w:ascii="仿宋" w:eastAsia="仿宋" w:hAnsi="仿宋" w:cs="仿宋" w:hint="eastAsia"/>
          <w:bCs/>
          <w:color w:val="000000" w:themeColor="text1"/>
          <w:sz w:val="32"/>
          <w:szCs w:val="32"/>
        </w:rPr>
        <w:t>篇。其他厅级领导和处级主要负责人撰写研讨材料</w:t>
      </w:r>
      <w:r>
        <w:rPr>
          <w:rFonts w:ascii="仿宋" w:eastAsia="仿宋" w:hAnsi="仿宋" w:cs="仿宋"/>
          <w:bCs/>
          <w:color w:val="000000" w:themeColor="text1"/>
          <w:sz w:val="32"/>
          <w:szCs w:val="32"/>
        </w:rPr>
        <w:t>80</w:t>
      </w:r>
      <w:r>
        <w:rPr>
          <w:rFonts w:ascii="仿宋" w:eastAsia="仿宋" w:hAnsi="仿宋" w:cs="仿宋" w:hint="eastAsia"/>
          <w:bCs/>
          <w:color w:val="000000" w:themeColor="text1"/>
          <w:sz w:val="32"/>
          <w:szCs w:val="32"/>
        </w:rPr>
        <w:t>余篇。举办了“自治区文化和旅游厅学习党的二十大精神暨党务纪检干部培训班”，全厅56</w:t>
      </w:r>
      <w:r>
        <w:rPr>
          <w:rFonts w:ascii="仿宋" w:eastAsia="仿宋" w:hAnsi="仿宋" w:cs="仿宋"/>
          <w:bCs/>
          <w:color w:val="000000" w:themeColor="text1"/>
          <w:sz w:val="32"/>
          <w:szCs w:val="32"/>
        </w:rPr>
        <w:t>0</w:t>
      </w:r>
      <w:r>
        <w:rPr>
          <w:rFonts w:ascii="仿宋" w:eastAsia="仿宋" w:hAnsi="仿宋" w:cs="仿宋" w:hint="eastAsia"/>
          <w:bCs/>
          <w:color w:val="000000" w:themeColor="text1"/>
          <w:sz w:val="32"/>
          <w:szCs w:val="32"/>
        </w:rPr>
        <w:t>多名党员</w:t>
      </w:r>
      <w:r>
        <w:rPr>
          <w:rFonts w:ascii="仿宋" w:eastAsia="仿宋" w:hAnsi="仿宋" w:cs="仿宋"/>
          <w:bCs/>
          <w:color w:val="000000" w:themeColor="text1"/>
          <w:sz w:val="32"/>
          <w:szCs w:val="32"/>
        </w:rPr>
        <w:t>干部参</w:t>
      </w:r>
      <w:r>
        <w:rPr>
          <w:rFonts w:ascii="仿宋" w:eastAsia="仿宋" w:hAnsi="仿宋" w:cs="仿宋"/>
          <w:bCs/>
          <w:color w:val="000000" w:themeColor="text1"/>
          <w:sz w:val="32"/>
          <w:szCs w:val="32"/>
        </w:rPr>
        <w:lastRenderedPageBreak/>
        <w:t>加了培训，</w:t>
      </w:r>
      <w:r>
        <w:rPr>
          <w:rFonts w:ascii="仿宋" w:eastAsia="仿宋" w:hAnsi="仿宋" w:cs="仿宋" w:hint="eastAsia"/>
          <w:bCs/>
          <w:color w:val="000000" w:themeColor="text1"/>
          <w:sz w:val="32"/>
          <w:szCs w:val="32"/>
        </w:rPr>
        <w:t>始终</w:t>
      </w:r>
      <w:r>
        <w:rPr>
          <w:rFonts w:ascii="仿宋" w:eastAsia="仿宋" w:hAnsi="仿宋" w:cs="仿宋"/>
          <w:bCs/>
          <w:color w:val="000000" w:themeColor="text1"/>
          <w:sz w:val="32"/>
          <w:szCs w:val="32"/>
        </w:rPr>
        <w:t>做到</w:t>
      </w:r>
      <w:r>
        <w:rPr>
          <w:rFonts w:ascii="仿宋" w:eastAsia="仿宋" w:hAnsi="仿宋" w:cs="仿宋" w:hint="eastAsia"/>
          <w:bCs/>
          <w:color w:val="000000" w:themeColor="text1"/>
          <w:sz w:val="32"/>
          <w:szCs w:val="32"/>
        </w:rPr>
        <w:t>同以习近平同志为核心的党中央对标对表、全面看齐，</w:t>
      </w:r>
      <w:r>
        <w:rPr>
          <w:rFonts w:ascii="仿宋" w:eastAsia="仿宋" w:hAnsi="仿宋" w:cs="仿宋"/>
          <w:bCs/>
          <w:color w:val="000000" w:themeColor="text1"/>
          <w:sz w:val="32"/>
          <w:szCs w:val="32"/>
        </w:rPr>
        <w:t>保持高度一致</w:t>
      </w:r>
      <w:r>
        <w:rPr>
          <w:rFonts w:ascii="仿宋" w:eastAsia="仿宋" w:hAnsi="仿宋" w:cs="仿宋" w:hint="eastAsia"/>
          <w:bCs/>
          <w:color w:val="000000" w:themeColor="text1"/>
          <w:sz w:val="32"/>
          <w:szCs w:val="32"/>
        </w:rPr>
        <w:t>。</w:t>
      </w:r>
    </w:p>
    <w:p w14:paraId="160275FB" w14:textId="77777777" w:rsidR="000374E3" w:rsidRDefault="000374E3" w:rsidP="000374E3">
      <w:pPr>
        <w:spacing w:line="560" w:lineRule="exact"/>
        <w:ind w:firstLine="655"/>
        <w:rPr>
          <w:rFonts w:ascii="黑体" w:eastAsia="黑体" w:hAnsi="黑体" w:cs="黑体" w:hint="eastAsia"/>
          <w:color w:val="000000" w:themeColor="text1"/>
          <w:sz w:val="32"/>
          <w:szCs w:val="32"/>
        </w:rPr>
      </w:pPr>
      <w:r>
        <w:rPr>
          <w:rFonts w:ascii="黑体" w:eastAsia="黑体" w:hAnsi="黑体" w:cs="仿宋" w:hint="eastAsia"/>
          <w:bCs/>
          <w:color w:val="000000" w:themeColor="text1"/>
          <w:sz w:val="32"/>
          <w:szCs w:val="32"/>
        </w:rPr>
        <w:t>二、</w:t>
      </w:r>
      <w:r>
        <w:rPr>
          <w:rFonts w:ascii="黑体" w:eastAsia="黑体" w:hAnsi="黑体" w:cs="黑体" w:hint="eastAsia"/>
          <w:color w:val="000000" w:themeColor="text1"/>
          <w:sz w:val="32"/>
          <w:szCs w:val="32"/>
        </w:rPr>
        <w:t>主要做法</w:t>
      </w:r>
    </w:p>
    <w:p w14:paraId="7774E5BD" w14:textId="77777777" w:rsidR="000374E3" w:rsidRDefault="000374E3" w:rsidP="000374E3">
      <w:pPr>
        <w:spacing w:line="560" w:lineRule="exact"/>
        <w:rPr>
          <w:rFonts w:ascii="仿宋" w:eastAsia="仿宋" w:hAnsi="仿宋" w:cs="仿宋" w:hint="eastAsia"/>
          <w:snapToGrid w:val="0"/>
          <w:color w:val="000000" w:themeColor="text1"/>
          <w:sz w:val="32"/>
          <w:szCs w:val="32"/>
          <w:shd w:val="clear" w:color="auto" w:fill="FFFFFF"/>
        </w:rPr>
      </w:pPr>
      <w:r>
        <w:rPr>
          <w:rFonts w:ascii="楷体" w:eastAsia="楷体" w:hAnsi="楷体" w:cs="楷体" w:hint="eastAsia"/>
          <w:bCs/>
          <w:color w:val="000000" w:themeColor="text1"/>
          <w:sz w:val="32"/>
          <w:szCs w:val="32"/>
        </w:rPr>
        <w:t xml:space="preserve">   </w:t>
      </w:r>
      <w:r>
        <w:rPr>
          <w:rFonts w:ascii="楷体" w:eastAsia="楷体" w:hAnsi="楷体" w:cs="楷体"/>
          <w:bCs/>
          <w:color w:val="000000" w:themeColor="text1"/>
          <w:sz w:val="32"/>
          <w:szCs w:val="32"/>
        </w:rPr>
        <w:t xml:space="preserve"> </w:t>
      </w:r>
      <w:r>
        <w:rPr>
          <w:rFonts w:ascii="楷体" w:eastAsia="楷体" w:hAnsi="楷体" w:cs="楷体" w:hint="eastAsia"/>
          <w:bCs/>
          <w:color w:val="000000" w:themeColor="text1"/>
          <w:sz w:val="32"/>
          <w:szCs w:val="32"/>
        </w:rPr>
        <w:t>（一）</w:t>
      </w:r>
      <w:r>
        <w:rPr>
          <w:rFonts w:ascii="楷体" w:eastAsia="楷体" w:hAnsi="楷体" w:cs="楷体" w:hint="eastAsia"/>
          <w:snapToGrid w:val="0"/>
          <w:color w:val="000000" w:themeColor="text1"/>
          <w:sz w:val="32"/>
          <w:szCs w:val="32"/>
          <w:shd w:val="clear" w:color="auto" w:fill="FFFFFF"/>
        </w:rPr>
        <w:t>党组班子成员率先垂范。</w:t>
      </w:r>
      <w:r>
        <w:rPr>
          <w:rFonts w:ascii="仿宋" w:eastAsia="仿宋" w:hAnsi="仿宋" w:cs="仿宋" w:hint="eastAsia"/>
          <w:snapToGrid w:val="0"/>
          <w:color w:val="000000" w:themeColor="text1"/>
          <w:sz w:val="32"/>
          <w:szCs w:val="32"/>
          <w:shd w:val="clear" w:color="auto" w:fill="FFFFFF"/>
        </w:rPr>
        <w:t>厅党组把理论学习当作政治责任抓紧抓实。党组书记、厅长秦艳作为第一责任人，亲自审定中心组年度学习安排和每次的研讨主题，亲自主持学习研讨并率先垂范，带头学习和研讨总结，安排部署具体工作，提出明确要求。其他党组成员和处级领导干部主动扛起责任，</w:t>
      </w:r>
      <w:r>
        <w:rPr>
          <w:rFonts w:ascii="仿宋" w:eastAsia="仿宋" w:hAnsi="仿宋" w:cs="仿宋" w:hint="eastAsia"/>
          <w:bCs/>
          <w:color w:val="000000" w:themeColor="text1"/>
          <w:sz w:val="32"/>
          <w:szCs w:val="32"/>
        </w:rPr>
        <w:t>提高站位，履职尽责，主动作为，进一步增强紧迫感、责任感和使命感，</w:t>
      </w:r>
      <w:r>
        <w:rPr>
          <w:rFonts w:ascii="仿宋" w:eastAsia="仿宋" w:hAnsi="仿宋" w:cs="仿宋" w:hint="eastAsia"/>
          <w:snapToGrid w:val="0"/>
          <w:color w:val="000000" w:themeColor="text1"/>
          <w:sz w:val="32"/>
          <w:szCs w:val="32"/>
          <w:shd w:val="clear" w:color="auto" w:fill="FFFFFF"/>
        </w:rPr>
        <w:t>结合业务分管和工作实际深入学习研讨，积极交流发言。</w:t>
      </w:r>
      <w:proofErr w:type="gramStart"/>
      <w:r>
        <w:rPr>
          <w:rFonts w:ascii="仿宋" w:eastAsia="仿宋" w:hAnsi="仿宋" w:cs="仿宋" w:hint="eastAsia"/>
          <w:snapToGrid w:val="0"/>
          <w:color w:val="000000" w:themeColor="text1"/>
          <w:sz w:val="32"/>
          <w:szCs w:val="32"/>
          <w:shd w:val="clear" w:color="auto" w:fill="FFFFFF"/>
        </w:rPr>
        <w:t>无论厅</w:t>
      </w:r>
      <w:proofErr w:type="gramEnd"/>
      <w:r>
        <w:rPr>
          <w:rFonts w:ascii="仿宋" w:eastAsia="仿宋" w:hAnsi="仿宋" w:cs="仿宋" w:hint="eastAsia"/>
          <w:snapToGrid w:val="0"/>
          <w:color w:val="000000" w:themeColor="text1"/>
          <w:sz w:val="32"/>
          <w:szCs w:val="32"/>
          <w:shd w:val="clear" w:color="auto" w:fill="FFFFFF"/>
        </w:rPr>
        <w:t>党组成员、还是处级领导干部，都以普通党员身份参加党支部集体学习，带头讲好党课，在创建“北疆</w:t>
      </w:r>
      <w:r>
        <w:rPr>
          <w:rFonts w:ascii="仿宋" w:eastAsia="仿宋" w:hAnsi="仿宋" w:cs="仿宋"/>
          <w:snapToGrid w:val="0"/>
          <w:color w:val="000000" w:themeColor="text1"/>
          <w:sz w:val="32"/>
          <w:szCs w:val="32"/>
          <w:shd w:val="clear" w:color="auto" w:fill="FFFFFF"/>
        </w:rPr>
        <w:t>模范机关</w:t>
      </w:r>
      <w:r>
        <w:rPr>
          <w:rFonts w:ascii="仿宋" w:eastAsia="仿宋" w:hAnsi="仿宋" w:cs="仿宋" w:hint="eastAsia"/>
          <w:snapToGrid w:val="0"/>
          <w:color w:val="000000" w:themeColor="text1"/>
          <w:sz w:val="32"/>
          <w:szCs w:val="32"/>
          <w:shd w:val="clear" w:color="auto" w:fill="FFFFFF"/>
        </w:rPr>
        <w:t>”中走在前、作表率。</w:t>
      </w:r>
    </w:p>
    <w:p w14:paraId="5A9E6F68" w14:textId="77777777" w:rsidR="000374E3" w:rsidRDefault="000374E3" w:rsidP="000374E3">
      <w:pPr>
        <w:spacing w:line="560" w:lineRule="exact"/>
        <w:ind w:firstLineChars="200" w:firstLine="655"/>
        <w:rPr>
          <w:rFonts w:ascii="仿宋" w:eastAsia="仿宋" w:hAnsi="仿宋" w:cs="仿宋" w:hint="eastAsia"/>
          <w:color w:val="000000" w:themeColor="text1"/>
          <w:sz w:val="32"/>
          <w:szCs w:val="32"/>
        </w:rPr>
      </w:pPr>
      <w:r>
        <w:rPr>
          <w:rFonts w:ascii="楷体" w:eastAsia="楷体" w:hAnsi="楷体" w:cs="楷体" w:hint="eastAsia"/>
          <w:color w:val="000000" w:themeColor="text1"/>
          <w:sz w:val="32"/>
          <w:szCs w:val="32"/>
        </w:rPr>
        <w:t>（二）合理制定学习计划。</w:t>
      </w:r>
      <w:r>
        <w:rPr>
          <w:rFonts w:ascii="仿宋" w:eastAsia="仿宋" w:hAnsi="仿宋" w:cs="仿宋" w:hint="eastAsia"/>
          <w:color w:val="000000" w:themeColor="text1"/>
          <w:sz w:val="32"/>
          <w:szCs w:val="32"/>
        </w:rPr>
        <w:t>厅党组高度重视党组中心组学习，深入推进理论武装工作，把党组中心组理论学习作为领导班子和领导干部学习理论、加强思想政治建设的重要形式和基本途径。按照上级有关要求，结合工作实际，制定了《</w:t>
      </w:r>
      <w:r>
        <w:rPr>
          <w:rFonts w:ascii="仿宋" w:eastAsia="仿宋" w:hAnsi="仿宋" w:cs="仿宋"/>
          <w:color w:val="000000" w:themeColor="text1"/>
          <w:sz w:val="32"/>
          <w:szCs w:val="32"/>
        </w:rPr>
        <w:t>2022年厅党组理论学习中心组学习方案》《2022年厅党组理论学习中心组接受训听旁听工作的实施方案》《2022年度巡听旁听各级党组织理论学习情况的实施方案》，对学习内容、</w:t>
      </w:r>
      <w:proofErr w:type="gramStart"/>
      <w:r>
        <w:rPr>
          <w:rFonts w:ascii="仿宋" w:eastAsia="仿宋" w:hAnsi="仿宋" w:cs="仿宋"/>
          <w:color w:val="000000" w:themeColor="text1"/>
          <w:sz w:val="32"/>
          <w:szCs w:val="32"/>
        </w:rPr>
        <w:t>接受巡听旁听</w:t>
      </w:r>
      <w:proofErr w:type="gramEnd"/>
      <w:r>
        <w:rPr>
          <w:rFonts w:ascii="仿宋" w:eastAsia="仿宋" w:hAnsi="仿宋" w:cs="仿宋"/>
          <w:color w:val="000000" w:themeColor="text1"/>
          <w:sz w:val="32"/>
          <w:szCs w:val="32"/>
        </w:rPr>
        <w:t>以及向下</w:t>
      </w:r>
      <w:proofErr w:type="gramStart"/>
      <w:r>
        <w:rPr>
          <w:rFonts w:ascii="仿宋" w:eastAsia="仿宋" w:hAnsi="仿宋" w:cs="仿宋"/>
          <w:color w:val="000000" w:themeColor="text1"/>
          <w:sz w:val="32"/>
          <w:szCs w:val="32"/>
        </w:rPr>
        <w:t>开展巡听旁听</w:t>
      </w:r>
      <w:proofErr w:type="gramEnd"/>
      <w:r>
        <w:rPr>
          <w:rFonts w:ascii="仿宋" w:eastAsia="仿宋" w:hAnsi="仿宋" w:cs="仿宋"/>
          <w:color w:val="000000" w:themeColor="text1"/>
          <w:sz w:val="32"/>
          <w:szCs w:val="32"/>
        </w:rPr>
        <w:t>工作都做出详细安排，明确中心组学习的范围、内容、方法和责任分工，细化学习要求，创新学习方</w:t>
      </w:r>
      <w:r>
        <w:rPr>
          <w:rFonts w:ascii="仿宋" w:eastAsia="仿宋" w:hAnsi="仿宋" w:cs="仿宋"/>
          <w:color w:val="000000" w:themeColor="text1"/>
          <w:sz w:val="32"/>
          <w:szCs w:val="32"/>
        </w:rPr>
        <w:lastRenderedPageBreak/>
        <w:t>法，确保学习“时间、内容、人员、效果”四落实。</w:t>
      </w:r>
    </w:p>
    <w:p w14:paraId="0B24CA6B" w14:textId="77777777" w:rsidR="000374E3" w:rsidRDefault="000374E3" w:rsidP="000374E3">
      <w:pPr>
        <w:spacing w:line="560" w:lineRule="exact"/>
        <w:ind w:firstLineChars="200" w:firstLine="655"/>
        <w:rPr>
          <w:rFonts w:ascii="仿宋" w:eastAsia="仿宋" w:hAnsi="仿宋" w:cs="仿宋" w:hint="eastAsia"/>
          <w:bCs/>
          <w:color w:val="000000" w:themeColor="text1"/>
          <w:sz w:val="32"/>
          <w:szCs w:val="32"/>
        </w:rPr>
      </w:pPr>
      <w:r>
        <w:rPr>
          <w:rFonts w:ascii="楷体" w:eastAsia="楷体" w:hAnsi="楷体" w:cs="楷体" w:hint="eastAsia"/>
          <w:color w:val="000000" w:themeColor="text1"/>
          <w:sz w:val="32"/>
          <w:szCs w:val="32"/>
        </w:rPr>
        <w:t>（三）聚焦党中央和自治区党委决策部署。</w:t>
      </w:r>
      <w:r>
        <w:rPr>
          <w:rFonts w:ascii="仿宋" w:eastAsia="仿宋" w:hAnsi="仿宋" w:cs="仿宋" w:hint="eastAsia"/>
          <w:color w:val="000000" w:themeColor="text1"/>
          <w:sz w:val="32"/>
          <w:szCs w:val="32"/>
        </w:rPr>
        <w:t>厅党组中心组按照党中央和自治区党委的统一部署，</w:t>
      </w:r>
      <w:r>
        <w:rPr>
          <w:rFonts w:ascii="仿宋" w:eastAsia="仿宋" w:hAnsi="仿宋" w:cs="仿宋" w:hint="eastAsia"/>
          <w:bCs/>
          <w:color w:val="000000" w:themeColor="text1"/>
          <w:sz w:val="32"/>
          <w:szCs w:val="32"/>
        </w:rPr>
        <w:t>以深入学习贯彻习近平新时代中国特色社会主义思想和党的二十大精神为首要政治任务，认真落实中央纪委对全面从严治党、党风廉政建设和反腐败工作的部署要求。着重围绕“开好厅党组党史学习教育专题民主生活会”“习近平总书记关于党的自我革命战略思想”“习近平总书记关于安全生产工作重要论述”“习近平总书记在参加十三届全国人大五次会议内蒙古代表团审议时重要讲话精神”“习近平总书记关于加强和改进人民信访工作重要思想”“进一步夯实铸牢中华民族共同体意识思想”“习近平法治思想”“习近平在中共中央政治局第三十九次集体学习时重要讲话精神”“深入贯彻落实党的二十大精神和习近平总书记关于加强作风建设的重要论述精神”</w:t>
      </w:r>
      <w:r>
        <w:rPr>
          <w:rFonts w:ascii="仿宋" w:eastAsia="仿宋" w:hAnsi="仿宋" w:cs="仿宋" w:hint="eastAsia"/>
          <w:bCs/>
          <w:sz w:val="32"/>
          <w:szCs w:val="32"/>
        </w:rPr>
        <w:t>等主题，</w:t>
      </w:r>
      <w:r>
        <w:rPr>
          <w:rFonts w:ascii="仿宋" w:eastAsia="仿宋" w:hAnsi="仿宋" w:cs="仿宋" w:hint="eastAsia"/>
          <w:sz w:val="32"/>
          <w:szCs w:val="32"/>
        </w:rPr>
        <w:t>聚焦文化旅游高质量发展开展交流研讨。</w:t>
      </w:r>
      <w:r>
        <w:rPr>
          <w:rFonts w:ascii="仿宋" w:eastAsia="仿宋" w:hAnsi="仿宋" w:cs="仿宋" w:hint="eastAsia"/>
          <w:bCs/>
          <w:color w:val="000000" w:themeColor="text1"/>
          <w:sz w:val="32"/>
          <w:szCs w:val="32"/>
        </w:rPr>
        <w:t>坚持问题导向、目标导向、结果导向，以</w:t>
      </w:r>
      <w:r>
        <w:rPr>
          <w:rFonts w:ascii="仿宋" w:eastAsia="仿宋" w:hAnsi="仿宋" w:cs="仿宋" w:hint="eastAsia"/>
          <w:color w:val="000000" w:themeColor="text1"/>
          <w:sz w:val="32"/>
          <w:szCs w:val="32"/>
          <w:shd w:val="clear" w:color="auto" w:fill="FFFFFF"/>
        </w:rPr>
        <w:t>理论学习研讨指导文化和旅游工作实践，真正把学习的过程转化为破解难题、推动工作的过程，提高解决实际矛盾和应对当前新形势下新问题的能力，确保党中央大政方针和自治区党委决策部署不折不扣地落到实处。</w:t>
      </w:r>
    </w:p>
    <w:p w14:paraId="1D7611FC" w14:textId="77777777" w:rsidR="000374E3" w:rsidRDefault="000374E3" w:rsidP="000374E3">
      <w:pPr>
        <w:pBdr>
          <w:bottom w:val="single" w:sz="4" w:space="31" w:color="FFFFFF"/>
        </w:pBdr>
        <w:tabs>
          <w:tab w:val="left" w:pos="2700"/>
          <w:tab w:val="left" w:pos="2996"/>
          <w:tab w:val="left" w:pos="8640"/>
        </w:tabs>
        <w:spacing w:line="560" w:lineRule="exact"/>
        <w:ind w:firstLine="645"/>
        <w:rPr>
          <w:rFonts w:ascii="仿宋" w:eastAsia="仿宋" w:hAnsi="仿宋" w:cs="仿宋" w:hint="eastAsia"/>
          <w:snapToGrid w:val="0"/>
          <w:color w:val="000000" w:themeColor="text1"/>
          <w:sz w:val="32"/>
          <w:szCs w:val="32"/>
          <w:shd w:val="clear" w:color="auto" w:fill="FFFFFF"/>
        </w:rPr>
      </w:pPr>
      <w:r>
        <w:rPr>
          <w:rFonts w:ascii="楷体" w:eastAsia="楷体" w:hAnsi="楷体" w:cs="楷体" w:hint="eastAsia"/>
          <w:snapToGrid w:val="0"/>
          <w:color w:val="000000" w:themeColor="text1"/>
          <w:sz w:val="32"/>
          <w:szCs w:val="32"/>
          <w:shd w:val="clear" w:color="auto" w:fill="FFFFFF"/>
        </w:rPr>
        <w:t>（四）确保学习取得实效。</w:t>
      </w:r>
      <w:r>
        <w:rPr>
          <w:rFonts w:ascii="仿宋" w:eastAsia="仿宋" w:hAnsi="仿宋" w:cs="仿宋" w:hint="eastAsia"/>
          <w:snapToGrid w:val="0"/>
          <w:color w:val="000000" w:themeColor="text1"/>
          <w:sz w:val="32"/>
          <w:szCs w:val="32"/>
          <w:shd w:val="clear" w:color="auto" w:fill="FFFFFF"/>
        </w:rPr>
        <w:t>落实用制度管人管事，制定</w:t>
      </w:r>
      <w:r>
        <w:rPr>
          <w:rFonts w:ascii="仿宋" w:eastAsia="仿宋" w:hAnsi="仿宋" w:cs="仿宋" w:hint="eastAsia"/>
          <w:color w:val="000000" w:themeColor="text1"/>
          <w:sz w:val="32"/>
          <w:szCs w:val="32"/>
        </w:rPr>
        <w:t>《文化和旅游厅党组中心组学习制度》，对</w:t>
      </w:r>
      <w:r>
        <w:rPr>
          <w:rFonts w:ascii="仿宋" w:eastAsia="仿宋" w:hAnsi="仿宋" w:cs="仿宋" w:hint="eastAsia"/>
          <w:snapToGrid w:val="0"/>
          <w:color w:val="000000" w:themeColor="text1"/>
          <w:sz w:val="32"/>
          <w:szCs w:val="32"/>
          <w:shd w:val="clear" w:color="auto" w:fill="FFFFFF"/>
        </w:rPr>
        <w:t>集中学习研讨、学习考勤和学习考核</w:t>
      </w:r>
      <w:proofErr w:type="gramStart"/>
      <w:r>
        <w:rPr>
          <w:rFonts w:ascii="仿宋" w:eastAsia="仿宋" w:hAnsi="仿宋" w:cs="仿宋" w:hint="eastAsia"/>
          <w:snapToGrid w:val="0"/>
          <w:color w:val="000000" w:themeColor="text1"/>
          <w:sz w:val="32"/>
          <w:szCs w:val="32"/>
          <w:shd w:val="clear" w:color="auto" w:fill="FFFFFF"/>
        </w:rPr>
        <w:t>作出</w:t>
      </w:r>
      <w:proofErr w:type="gramEnd"/>
      <w:r>
        <w:rPr>
          <w:rFonts w:ascii="仿宋" w:eastAsia="仿宋" w:hAnsi="仿宋" w:cs="仿宋" w:hint="eastAsia"/>
          <w:color w:val="000000" w:themeColor="text1"/>
          <w:sz w:val="32"/>
          <w:szCs w:val="32"/>
        </w:rPr>
        <w:t>明确规定</w:t>
      </w:r>
      <w:r>
        <w:rPr>
          <w:rFonts w:ascii="仿宋" w:eastAsia="仿宋" w:hAnsi="仿宋" w:cs="仿宋" w:hint="eastAsia"/>
          <w:snapToGrid w:val="0"/>
          <w:color w:val="000000" w:themeColor="text1"/>
          <w:sz w:val="32"/>
          <w:szCs w:val="32"/>
          <w:shd w:val="clear" w:color="auto" w:fill="FFFFFF"/>
        </w:rPr>
        <w:t>，进一步完善和落实学习</w:t>
      </w:r>
      <w:hyperlink r:id="rId4" w:tgtFrame="http://www.5ykj.com/Article/zjbgjyjl/_blank" w:history="1">
        <w:r>
          <w:rPr>
            <w:rStyle w:val="a5"/>
            <w:rFonts w:ascii="仿宋" w:eastAsia="仿宋" w:hAnsi="仿宋" w:cs="仿宋" w:hint="eastAsia"/>
            <w:snapToGrid w:val="0"/>
            <w:color w:val="000000" w:themeColor="text1"/>
            <w:sz w:val="32"/>
            <w:szCs w:val="32"/>
            <w:shd w:val="clear" w:color="auto" w:fill="FFFFFF"/>
          </w:rPr>
          <w:t>计划</w:t>
        </w:r>
      </w:hyperlink>
      <w:r>
        <w:rPr>
          <w:rFonts w:ascii="仿宋" w:eastAsia="仿宋" w:hAnsi="仿宋" w:cs="仿宋" w:hint="eastAsia"/>
          <w:snapToGrid w:val="0"/>
          <w:color w:val="000000" w:themeColor="text1"/>
          <w:sz w:val="32"/>
          <w:szCs w:val="32"/>
          <w:shd w:val="clear" w:color="auto" w:fill="FFFFFF"/>
        </w:rPr>
        <w:t>、</w:t>
      </w:r>
      <w:proofErr w:type="gramStart"/>
      <w:r>
        <w:rPr>
          <w:rFonts w:ascii="仿宋" w:eastAsia="仿宋" w:hAnsi="仿宋" w:cs="仿宋" w:hint="eastAsia"/>
          <w:snapToGrid w:val="0"/>
          <w:color w:val="000000" w:themeColor="text1"/>
          <w:sz w:val="32"/>
          <w:szCs w:val="32"/>
          <w:shd w:val="clear" w:color="auto" w:fill="FFFFFF"/>
        </w:rPr>
        <w:t>学习台</w:t>
      </w:r>
      <w:proofErr w:type="gramEnd"/>
      <w:r>
        <w:rPr>
          <w:rFonts w:ascii="仿宋" w:eastAsia="仿宋" w:hAnsi="仿宋" w:cs="仿宋" w:hint="eastAsia"/>
          <w:snapToGrid w:val="0"/>
          <w:color w:val="000000" w:themeColor="text1"/>
          <w:sz w:val="32"/>
          <w:szCs w:val="32"/>
          <w:shd w:val="clear" w:color="auto" w:fill="FFFFFF"/>
        </w:rPr>
        <w:lastRenderedPageBreak/>
        <w:t>账、学习预告、学习考勤、信息通报等制度，每次</w:t>
      </w:r>
      <w:r>
        <w:rPr>
          <w:rFonts w:ascii="仿宋" w:eastAsia="仿宋" w:hAnsi="仿宋" w:cs="仿宋" w:hint="eastAsia"/>
          <w:color w:val="000000" w:themeColor="text1"/>
          <w:sz w:val="32"/>
          <w:szCs w:val="32"/>
        </w:rPr>
        <w:t>学习、研讨提前确定主题、制定方案，</w:t>
      </w:r>
      <w:r>
        <w:rPr>
          <w:rFonts w:ascii="仿宋" w:eastAsia="仿宋" w:hAnsi="仿宋" w:cs="仿宋" w:hint="eastAsia"/>
          <w:sz w:val="32"/>
          <w:szCs w:val="32"/>
        </w:rPr>
        <w:t>安排重点发言人，其他同志提交书面发言材料。</w:t>
      </w:r>
      <w:r>
        <w:rPr>
          <w:rFonts w:ascii="仿宋" w:eastAsia="仿宋" w:hAnsi="仿宋" w:cs="仿宋" w:hint="eastAsia"/>
          <w:color w:val="000000" w:themeColor="text1"/>
          <w:sz w:val="32"/>
          <w:szCs w:val="32"/>
        </w:rPr>
        <w:t>在调研学习、充分准备的基础上</w:t>
      </w:r>
      <w:r>
        <w:rPr>
          <w:rFonts w:ascii="仿宋" w:eastAsia="仿宋" w:hAnsi="仿宋" w:cs="仿宋" w:hint="eastAsia"/>
          <w:sz w:val="32"/>
          <w:szCs w:val="32"/>
        </w:rPr>
        <w:t>深入理论探讨，确保研讨质量，</w:t>
      </w:r>
      <w:r>
        <w:rPr>
          <w:rFonts w:ascii="仿宋" w:eastAsia="仿宋" w:hAnsi="仿宋" w:cs="仿宋" w:hint="eastAsia"/>
          <w:snapToGrid w:val="0"/>
          <w:color w:val="000000" w:themeColor="text1"/>
          <w:sz w:val="32"/>
          <w:szCs w:val="32"/>
          <w:shd w:val="clear" w:color="auto" w:fill="FFFFFF"/>
        </w:rPr>
        <w:t>做到中心组学习有计划、有考勤、</w:t>
      </w:r>
      <w:r>
        <w:rPr>
          <w:rFonts w:ascii="仿宋" w:eastAsia="仿宋" w:hAnsi="仿宋" w:cs="仿宋" w:hint="eastAsia"/>
          <w:sz w:val="32"/>
          <w:szCs w:val="32"/>
        </w:rPr>
        <w:t>有发言材料、有读书笔记、有体会文章和总结报告等。</w:t>
      </w:r>
      <w:r>
        <w:rPr>
          <w:rFonts w:ascii="仿宋" w:eastAsia="仿宋" w:hAnsi="仿宋" w:cs="仿宋" w:hint="eastAsia"/>
          <w:snapToGrid w:val="0"/>
          <w:color w:val="000000" w:themeColor="text1"/>
          <w:sz w:val="32"/>
          <w:szCs w:val="32"/>
          <w:shd w:val="clear" w:color="auto" w:fill="FFFFFF"/>
        </w:rPr>
        <w:t>坚持每月至少安排一天集中学习</w:t>
      </w:r>
      <w:r>
        <w:rPr>
          <w:rFonts w:ascii="仿宋" w:eastAsia="仿宋" w:hAnsi="仿宋" w:cs="仿宋" w:hint="eastAsia"/>
          <w:snapToGrid w:val="0"/>
          <w:color w:val="000000" w:themeColor="text1"/>
          <w:sz w:val="32"/>
          <w:szCs w:val="32"/>
        </w:rPr>
        <w:t>研讨，</w:t>
      </w:r>
      <w:r>
        <w:rPr>
          <w:rFonts w:ascii="仿宋" w:eastAsia="仿宋" w:hAnsi="仿宋" w:cs="仿宋" w:hint="eastAsia"/>
          <w:color w:val="000000" w:themeColor="text1"/>
          <w:sz w:val="32"/>
          <w:szCs w:val="32"/>
        </w:rPr>
        <w:t>将研讨主题与业务工作紧密联系起来，</w:t>
      </w:r>
      <w:r>
        <w:rPr>
          <w:rFonts w:ascii="仿宋" w:eastAsia="仿宋" w:hAnsi="仿宋" w:cs="仿宋" w:hint="eastAsia"/>
          <w:snapToGrid w:val="0"/>
          <w:color w:val="000000" w:themeColor="text1"/>
          <w:sz w:val="32"/>
          <w:szCs w:val="32"/>
          <w:shd w:val="clear" w:color="auto" w:fill="FFFFFF"/>
        </w:rPr>
        <w:t>有效地增强了学习效果，不断将中心组的学习研讨推向深入。结合“转作风、抓落实、树形</w:t>
      </w:r>
      <w:proofErr w:type="gramStart"/>
      <w:r>
        <w:rPr>
          <w:rFonts w:ascii="仿宋" w:eastAsia="仿宋" w:hAnsi="仿宋" w:cs="仿宋" w:hint="eastAsia"/>
          <w:snapToGrid w:val="0"/>
          <w:color w:val="000000" w:themeColor="text1"/>
          <w:sz w:val="32"/>
          <w:szCs w:val="32"/>
          <w:shd w:val="clear" w:color="auto" w:fill="FFFFFF"/>
        </w:rPr>
        <w:t>象</w:t>
      </w:r>
      <w:proofErr w:type="gramEnd"/>
      <w:r>
        <w:rPr>
          <w:rFonts w:ascii="仿宋" w:eastAsia="仿宋" w:hAnsi="仿宋" w:cs="仿宋" w:hint="eastAsia"/>
          <w:snapToGrid w:val="0"/>
          <w:color w:val="000000" w:themeColor="text1"/>
          <w:sz w:val="32"/>
          <w:szCs w:val="32"/>
          <w:shd w:val="clear" w:color="auto" w:fill="FFFFFF"/>
        </w:rPr>
        <w:t>”专项行动，不断深化理论学习中心组学习效果，让学习有思想、有内容、有深度、有成效。大家深入研究，认真思考，踊跃发言，谈学习感悟，说真知灼见，力求学思</w:t>
      </w:r>
      <w:proofErr w:type="gramStart"/>
      <w:r>
        <w:rPr>
          <w:rFonts w:ascii="仿宋" w:eastAsia="仿宋" w:hAnsi="仿宋" w:cs="仿宋" w:hint="eastAsia"/>
          <w:snapToGrid w:val="0"/>
          <w:color w:val="000000" w:themeColor="text1"/>
          <w:sz w:val="32"/>
          <w:szCs w:val="32"/>
          <w:shd w:val="clear" w:color="auto" w:fill="FFFFFF"/>
        </w:rPr>
        <w:t>践</w:t>
      </w:r>
      <w:proofErr w:type="gramEnd"/>
      <w:r>
        <w:rPr>
          <w:rFonts w:ascii="仿宋" w:eastAsia="仿宋" w:hAnsi="仿宋" w:cs="仿宋" w:hint="eastAsia"/>
          <w:snapToGrid w:val="0"/>
          <w:color w:val="000000" w:themeColor="text1"/>
          <w:sz w:val="32"/>
          <w:szCs w:val="32"/>
          <w:shd w:val="clear" w:color="auto" w:fill="FFFFFF"/>
        </w:rPr>
        <w:t>悟，知行合一，理论学习取得丰硕成果，如涓涓清流，汇聚成文旅高水平融合和高质量发展的新引擎。</w:t>
      </w:r>
    </w:p>
    <w:p w14:paraId="559CC357" w14:textId="77777777" w:rsidR="000374E3" w:rsidRDefault="000374E3" w:rsidP="000374E3">
      <w:pPr>
        <w:pBdr>
          <w:bottom w:val="single" w:sz="4" w:space="31" w:color="FFFFFF"/>
        </w:pBdr>
        <w:tabs>
          <w:tab w:val="left" w:pos="2700"/>
          <w:tab w:val="left" w:pos="2996"/>
          <w:tab w:val="left" w:pos="8640"/>
        </w:tabs>
        <w:spacing w:line="560" w:lineRule="exact"/>
        <w:ind w:firstLine="640"/>
        <w:rPr>
          <w:rFonts w:ascii="黑体" w:eastAsia="黑体" w:hAnsi="黑体" w:cs="黑体" w:hint="eastAsia"/>
          <w:snapToGrid w:val="0"/>
          <w:color w:val="000000" w:themeColor="text1"/>
          <w:sz w:val="32"/>
          <w:szCs w:val="32"/>
          <w:shd w:val="clear" w:color="auto" w:fill="FFFFFF"/>
        </w:rPr>
      </w:pPr>
      <w:r>
        <w:rPr>
          <w:rFonts w:ascii="黑体" w:eastAsia="黑体" w:hAnsi="黑体" w:cs="黑体" w:hint="eastAsia"/>
          <w:snapToGrid w:val="0"/>
          <w:color w:val="000000" w:themeColor="text1"/>
          <w:sz w:val="32"/>
          <w:szCs w:val="32"/>
          <w:shd w:val="clear" w:color="auto" w:fill="FFFFFF"/>
        </w:rPr>
        <w:t>三、进一步加强</w:t>
      </w:r>
      <w:r>
        <w:rPr>
          <w:rFonts w:ascii="黑体" w:eastAsia="黑体" w:hAnsi="黑体" w:cs="黑体"/>
          <w:snapToGrid w:val="0"/>
          <w:color w:val="000000" w:themeColor="text1"/>
          <w:sz w:val="32"/>
          <w:szCs w:val="32"/>
          <w:shd w:val="clear" w:color="auto" w:fill="FFFFFF"/>
        </w:rPr>
        <w:t>理论中心组学习的</w:t>
      </w:r>
      <w:r>
        <w:rPr>
          <w:rFonts w:ascii="黑体" w:eastAsia="黑体" w:hAnsi="黑体" w:cs="黑体" w:hint="eastAsia"/>
          <w:snapToGrid w:val="0"/>
          <w:color w:val="000000" w:themeColor="text1"/>
          <w:sz w:val="32"/>
          <w:szCs w:val="32"/>
          <w:shd w:val="clear" w:color="auto" w:fill="FFFFFF"/>
        </w:rPr>
        <w:t>方法</w:t>
      </w:r>
      <w:r>
        <w:rPr>
          <w:rFonts w:ascii="黑体" w:eastAsia="黑体" w:hAnsi="黑体" w:cs="黑体"/>
          <w:snapToGrid w:val="0"/>
          <w:color w:val="000000" w:themeColor="text1"/>
          <w:sz w:val="32"/>
          <w:szCs w:val="32"/>
          <w:shd w:val="clear" w:color="auto" w:fill="FFFFFF"/>
        </w:rPr>
        <w:t>措施</w:t>
      </w:r>
    </w:p>
    <w:p w14:paraId="79FED5CA" w14:textId="77777777" w:rsidR="000374E3" w:rsidRDefault="000374E3" w:rsidP="000374E3">
      <w:pPr>
        <w:pBdr>
          <w:bottom w:val="single" w:sz="4" w:space="31" w:color="FFFFFF"/>
        </w:pBdr>
        <w:tabs>
          <w:tab w:val="left" w:pos="2700"/>
          <w:tab w:val="left" w:pos="2996"/>
          <w:tab w:val="left" w:pos="8640"/>
        </w:tabs>
        <w:spacing w:line="560" w:lineRule="exact"/>
        <w:ind w:firstLine="640"/>
        <w:rPr>
          <w:rFonts w:ascii="楷体" w:eastAsia="楷体" w:hAnsi="楷体" w:cs="楷体" w:hint="eastAsia"/>
          <w:color w:val="26214A"/>
          <w:sz w:val="32"/>
          <w:szCs w:val="32"/>
        </w:rPr>
      </w:pPr>
      <w:r>
        <w:rPr>
          <w:rFonts w:ascii="楷体" w:eastAsia="楷体" w:hAnsi="楷体" w:cs="楷体" w:hint="eastAsia"/>
          <w:color w:val="26214A"/>
          <w:sz w:val="32"/>
          <w:szCs w:val="32"/>
        </w:rPr>
        <w:t>（一）进一步强化</w:t>
      </w:r>
      <w:r>
        <w:rPr>
          <w:rFonts w:ascii="楷体" w:eastAsia="楷体" w:hAnsi="楷体" w:cs="楷体"/>
          <w:color w:val="26214A"/>
          <w:sz w:val="32"/>
          <w:szCs w:val="32"/>
        </w:rPr>
        <w:t>政治引领</w:t>
      </w:r>
      <w:r>
        <w:rPr>
          <w:rFonts w:ascii="楷体" w:eastAsia="楷体" w:hAnsi="楷体" w:cs="楷体" w:hint="eastAsia"/>
          <w:color w:val="26214A"/>
          <w:sz w:val="32"/>
          <w:szCs w:val="32"/>
        </w:rPr>
        <w:t>。</w:t>
      </w:r>
      <w:r>
        <w:rPr>
          <w:rFonts w:ascii="仿宋" w:eastAsia="仿宋" w:hAnsi="仿宋" w:cs="仿宋" w:hint="eastAsia"/>
          <w:color w:val="000000" w:themeColor="text1"/>
          <w:sz w:val="32"/>
          <w:szCs w:val="32"/>
        </w:rPr>
        <w:t>加强和改进党组中心组理论学习，是加强党的建设和理论武装的一项长期工作。我们一定</w:t>
      </w:r>
      <w:r>
        <w:rPr>
          <w:rFonts w:ascii="仿宋" w:eastAsia="仿宋" w:hAnsi="仿宋" w:cs="仿宋" w:hint="eastAsia"/>
          <w:sz w:val="32"/>
          <w:szCs w:val="32"/>
        </w:rPr>
        <w:t>要在思想上高度重视，始终把学习作为加强、改进领导班子自身建设和提高领导干部、中心组成员素质的基础性工作，</w:t>
      </w:r>
      <w:r>
        <w:rPr>
          <w:rFonts w:ascii="仿宋" w:eastAsia="仿宋" w:hAnsi="仿宋" w:cs="仿宋" w:hint="eastAsia"/>
          <w:color w:val="000000" w:themeColor="text1"/>
          <w:sz w:val="32"/>
          <w:szCs w:val="32"/>
        </w:rPr>
        <w:t>切实履行党组书记第一责任人的职责，不断加强对中心组学习的组织领导。党组书记要亲自主持每次的学习专题会，定期听取中心组学习情况汇报，深入研究理论学习中的重大问题，要积极引导，把班子成员思想统一到</w:t>
      </w:r>
      <w:r>
        <w:rPr>
          <w:rFonts w:ascii="仿宋" w:eastAsia="仿宋" w:hAnsi="仿宋" w:cs="仿宋" w:hint="eastAsia"/>
          <w:bCs/>
          <w:color w:val="000000" w:themeColor="text1"/>
          <w:sz w:val="32"/>
          <w:szCs w:val="32"/>
        </w:rPr>
        <w:t>党中央、国务院的决策部署和自治区党委、政府的工作要求</w:t>
      </w:r>
      <w:r>
        <w:rPr>
          <w:rFonts w:ascii="仿宋" w:eastAsia="仿宋" w:hAnsi="仿宋" w:cs="仿宋" w:hint="eastAsia"/>
          <w:color w:val="000000" w:themeColor="text1"/>
          <w:sz w:val="32"/>
          <w:szCs w:val="32"/>
        </w:rPr>
        <w:t>上来，</w:t>
      </w:r>
      <w:r>
        <w:rPr>
          <w:rFonts w:ascii="仿宋" w:eastAsia="仿宋" w:hAnsi="仿宋" w:cs="仿宋" w:hint="eastAsia"/>
          <w:sz w:val="32"/>
          <w:szCs w:val="32"/>
        </w:rPr>
        <w:t>持之以恒</w:t>
      </w:r>
      <w:r>
        <w:rPr>
          <w:rFonts w:ascii="仿宋" w:eastAsia="仿宋" w:hAnsi="仿宋" w:cs="仿宋" w:hint="eastAsia"/>
          <w:color w:val="000000" w:themeColor="text1"/>
          <w:sz w:val="32"/>
          <w:szCs w:val="32"/>
        </w:rPr>
        <w:t>把理论学习放在突</w:t>
      </w:r>
      <w:r>
        <w:rPr>
          <w:rFonts w:ascii="仿宋" w:eastAsia="仿宋" w:hAnsi="仿宋" w:cs="仿宋" w:hint="eastAsia"/>
          <w:color w:val="000000" w:themeColor="text1"/>
          <w:sz w:val="32"/>
          <w:szCs w:val="32"/>
        </w:rPr>
        <w:lastRenderedPageBreak/>
        <w:t>出</w:t>
      </w:r>
      <w:proofErr w:type="gramStart"/>
      <w:r>
        <w:rPr>
          <w:rFonts w:ascii="仿宋" w:eastAsia="仿宋" w:hAnsi="仿宋" w:cs="仿宋" w:hint="eastAsia"/>
          <w:color w:val="000000" w:themeColor="text1"/>
          <w:sz w:val="32"/>
          <w:szCs w:val="32"/>
        </w:rPr>
        <w:t>位置抓</w:t>
      </w:r>
      <w:proofErr w:type="gramEnd"/>
      <w:r>
        <w:rPr>
          <w:rFonts w:ascii="仿宋" w:eastAsia="仿宋" w:hAnsi="仿宋" w:cs="仿宋" w:hint="eastAsia"/>
          <w:color w:val="000000" w:themeColor="text1"/>
          <w:sz w:val="32"/>
          <w:szCs w:val="32"/>
        </w:rPr>
        <w:t>实抓好。</w:t>
      </w:r>
    </w:p>
    <w:p w14:paraId="405CA9E2" w14:textId="77777777" w:rsidR="000374E3" w:rsidRDefault="000374E3" w:rsidP="000374E3">
      <w:pPr>
        <w:pBdr>
          <w:bottom w:val="single" w:sz="4" w:space="31" w:color="FFFFFF"/>
        </w:pBdr>
        <w:tabs>
          <w:tab w:val="left" w:pos="2700"/>
          <w:tab w:val="left" w:pos="2996"/>
          <w:tab w:val="left" w:pos="8640"/>
        </w:tabs>
        <w:spacing w:line="560" w:lineRule="exact"/>
        <w:ind w:firstLine="655"/>
        <w:rPr>
          <w:rFonts w:ascii="楷体" w:eastAsia="楷体" w:hAnsi="楷体" w:cs="楷体" w:hint="eastAsia"/>
          <w:sz w:val="32"/>
          <w:szCs w:val="32"/>
        </w:rPr>
      </w:pPr>
      <w:r>
        <w:rPr>
          <w:rFonts w:ascii="楷体" w:eastAsia="楷体" w:hAnsi="楷体" w:cs="楷体" w:hint="eastAsia"/>
          <w:sz w:val="32"/>
          <w:szCs w:val="32"/>
        </w:rPr>
        <w:t>（二）进一步完善制度建设。</w:t>
      </w:r>
      <w:r>
        <w:rPr>
          <w:rFonts w:ascii="仿宋" w:eastAsia="仿宋" w:hAnsi="仿宋" w:cs="仿宋" w:hint="eastAsia"/>
          <w:sz w:val="32"/>
          <w:szCs w:val="32"/>
        </w:rPr>
        <w:t>把理论中心组学习的制度建设，作为加强和改进理论学习的重要前提，持之以恒，常抓不懈。修订完善</w:t>
      </w:r>
      <w:r>
        <w:rPr>
          <w:rFonts w:ascii="仿宋" w:eastAsia="仿宋" w:hAnsi="仿宋" w:cs="仿宋" w:hint="eastAsia"/>
          <w:color w:val="000000" w:themeColor="text1"/>
          <w:sz w:val="32"/>
          <w:szCs w:val="32"/>
        </w:rPr>
        <w:t>《文化和旅游厅党组中心组学习制度》，</w:t>
      </w:r>
      <w:r>
        <w:rPr>
          <w:rFonts w:ascii="仿宋" w:eastAsia="仿宋" w:hAnsi="仿宋" w:cs="仿宋" w:hint="eastAsia"/>
          <w:sz w:val="32"/>
          <w:szCs w:val="32"/>
        </w:rPr>
        <w:t>对中心组学习提出更高标准，用制度来规范理论学习。在理论学习活动中，做到合理布置，统筹安排，坚持年有计划、季有安排，月有研讨，</w:t>
      </w:r>
      <w:r>
        <w:rPr>
          <w:rFonts w:ascii="仿宋" w:eastAsia="仿宋" w:hAnsi="仿宋" w:cs="仿宋" w:hint="eastAsia"/>
          <w:color w:val="000000" w:themeColor="text1"/>
          <w:sz w:val="32"/>
          <w:szCs w:val="32"/>
        </w:rPr>
        <w:t>建立健全学习档案制度，</w:t>
      </w:r>
      <w:r>
        <w:rPr>
          <w:rFonts w:ascii="仿宋" w:eastAsia="仿宋" w:hAnsi="仿宋" w:cs="仿宋" w:hint="eastAsia"/>
          <w:sz w:val="32"/>
          <w:szCs w:val="32"/>
        </w:rPr>
        <w:t>把理论学习情况纳入领导班子目标管理责任中进行考核</w:t>
      </w:r>
      <w:r>
        <w:rPr>
          <w:rFonts w:ascii="仿宋" w:eastAsia="仿宋" w:hAnsi="仿宋" w:cs="仿宋" w:hint="eastAsia"/>
          <w:color w:val="000000" w:themeColor="text1"/>
          <w:sz w:val="32"/>
          <w:szCs w:val="32"/>
        </w:rPr>
        <w:t>。</w:t>
      </w:r>
    </w:p>
    <w:p w14:paraId="3DEE148D" w14:textId="77777777" w:rsidR="000374E3" w:rsidRDefault="000374E3" w:rsidP="000374E3">
      <w:pPr>
        <w:pBdr>
          <w:bottom w:val="single" w:sz="4" w:space="31" w:color="FFFFFF"/>
        </w:pBdr>
        <w:tabs>
          <w:tab w:val="left" w:pos="2700"/>
          <w:tab w:val="left" w:pos="2996"/>
          <w:tab w:val="left" w:pos="8640"/>
        </w:tabs>
        <w:spacing w:line="560" w:lineRule="exact"/>
        <w:ind w:firstLine="660"/>
        <w:rPr>
          <w:rFonts w:ascii="仿宋" w:eastAsia="仿宋" w:hAnsi="仿宋" w:cs="仿宋" w:hint="eastAsia"/>
          <w:bCs/>
          <w:color w:val="000000" w:themeColor="text1"/>
          <w:sz w:val="32"/>
          <w:szCs w:val="32"/>
        </w:rPr>
      </w:pPr>
      <w:r>
        <w:rPr>
          <w:rFonts w:ascii="楷体" w:eastAsia="楷体" w:hAnsi="楷体" w:cs="楷体" w:hint="eastAsia"/>
          <w:sz w:val="32"/>
          <w:szCs w:val="32"/>
        </w:rPr>
        <w:t>（三）进一步创新学习方式</w:t>
      </w:r>
      <w:r>
        <w:rPr>
          <w:rFonts w:ascii="仿宋" w:eastAsia="仿宋" w:hAnsi="仿宋" w:cs="仿宋" w:hint="eastAsia"/>
          <w:sz w:val="32"/>
          <w:szCs w:val="32"/>
        </w:rPr>
        <w:t>。从增强理论中心组学习的吸引力，努力提高学习质量出发，</w:t>
      </w:r>
      <w:r>
        <w:rPr>
          <w:rFonts w:ascii="仿宋" w:eastAsia="仿宋" w:hAnsi="仿宋" w:cs="仿宋" w:hint="eastAsia"/>
          <w:bCs/>
          <w:color w:val="000000" w:themeColor="text1"/>
          <w:sz w:val="32"/>
          <w:szCs w:val="32"/>
        </w:rPr>
        <w:t>在注重读原著、学原文、悟原理的基础上，</w:t>
      </w:r>
      <w:r>
        <w:rPr>
          <w:rFonts w:ascii="仿宋" w:eastAsia="仿宋" w:hAnsi="仿宋" w:cs="仿宋" w:hint="eastAsia"/>
          <w:sz w:val="32"/>
          <w:szCs w:val="32"/>
        </w:rPr>
        <w:t>积极探索和尝试更多的学习形式和方法，丰富学习载体，通过观看视频、专家辅导、实地参观、利用网络平台等方式，</w:t>
      </w:r>
      <w:r>
        <w:rPr>
          <w:rFonts w:ascii="仿宋" w:eastAsia="仿宋" w:hAnsi="仿宋" w:cs="仿宋" w:hint="eastAsia"/>
          <w:bCs/>
          <w:color w:val="000000" w:themeColor="text1"/>
          <w:sz w:val="32"/>
          <w:szCs w:val="32"/>
        </w:rPr>
        <w:t>把习近平总书记的重要讲话，中央和自治区重要文件、会议精神作为学习重点，坚持围绕中心、服务大局；坚持知行合一、学以致用；坚持问题导向、注重实效；坚持依规管理、从严治学。积极创新学习方式，切实加强政治建设。</w:t>
      </w:r>
    </w:p>
    <w:p w14:paraId="719729B4" w14:textId="77777777" w:rsidR="000374E3" w:rsidRDefault="000374E3" w:rsidP="000374E3">
      <w:pPr>
        <w:pBdr>
          <w:bottom w:val="single" w:sz="4" w:space="31" w:color="FFFFFF"/>
        </w:pBdr>
        <w:tabs>
          <w:tab w:val="left" w:pos="2700"/>
          <w:tab w:val="left" w:pos="2996"/>
          <w:tab w:val="left" w:pos="8640"/>
        </w:tabs>
        <w:spacing w:line="560" w:lineRule="exact"/>
        <w:ind w:firstLine="660"/>
        <w:rPr>
          <w:rFonts w:ascii="仿宋" w:eastAsia="仿宋" w:hAnsi="仿宋" w:cs="仿宋" w:hint="eastAsia"/>
          <w:bCs/>
          <w:color w:val="000000" w:themeColor="text1"/>
          <w:sz w:val="32"/>
          <w:szCs w:val="32"/>
        </w:rPr>
      </w:pPr>
    </w:p>
    <w:p w14:paraId="4F27DF57" w14:textId="77777777" w:rsidR="000374E3" w:rsidRDefault="000374E3" w:rsidP="000374E3">
      <w:pPr>
        <w:pBdr>
          <w:bottom w:val="single" w:sz="4" w:space="31" w:color="FFFFFF"/>
        </w:pBdr>
        <w:tabs>
          <w:tab w:val="left" w:pos="2700"/>
          <w:tab w:val="left" w:pos="2996"/>
          <w:tab w:val="left" w:pos="8640"/>
        </w:tabs>
        <w:spacing w:line="560" w:lineRule="exact"/>
        <w:ind w:firstLine="660"/>
        <w:rPr>
          <w:rFonts w:ascii="仿宋" w:eastAsia="仿宋" w:hAnsi="仿宋" w:cs="仿宋" w:hint="eastAsia"/>
          <w:bCs/>
          <w:color w:val="000000" w:themeColor="text1"/>
          <w:sz w:val="32"/>
          <w:szCs w:val="32"/>
        </w:rPr>
      </w:pPr>
    </w:p>
    <w:p w14:paraId="47AFFDAC" w14:textId="77777777" w:rsidR="000374E3" w:rsidRDefault="000374E3" w:rsidP="000374E3">
      <w:pPr>
        <w:pBdr>
          <w:bottom w:val="single" w:sz="4" w:space="31" w:color="FFFFFF"/>
        </w:pBdr>
        <w:tabs>
          <w:tab w:val="left" w:pos="2700"/>
          <w:tab w:val="left" w:pos="2996"/>
          <w:tab w:val="left" w:pos="8640"/>
        </w:tabs>
        <w:spacing w:line="560" w:lineRule="exact"/>
        <w:rPr>
          <w:rFonts w:ascii="仿宋" w:eastAsia="仿宋" w:hAnsi="仿宋" w:cs="仿宋" w:hint="eastAsia"/>
          <w:sz w:val="32"/>
          <w:szCs w:val="32"/>
        </w:rPr>
      </w:pPr>
    </w:p>
    <w:p w14:paraId="45A38CFF" w14:textId="77777777" w:rsidR="000374E3" w:rsidRDefault="000374E3" w:rsidP="000374E3">
      <w:pPr>
        <w:pBdr>
          <w:bottom w:val="single" w:sz="4" w:space="31" w:color="FFFFFF"/>
        </w:pBdr>
        <w:tabs>
          <w:tab w:val="left" w:pos="2700"/>
          <w:tab w:val="left" w:pos="2996"/>
          <w:tab w:val="left" w:pos="8640"/>
        </w:tabs>
        <w:spacing w:line="560" w:lineRule="exact"/>
        <w:ind w:firstLine="655"/>
        <w:rPr>
          <w:rFonts w:ascii="仿宋" w:eastAsia="仿宋" w:hAnsi="仿宋" w:cs="仿宋" w:hint="eastAsia"/>
          <w:sz w:val="32"/>
          <w:szCs w:val="32"/>
        </w:rPr>
      </w:pPr>
      <w:r>
        <w:rPr>
          <w:rFonts w:ascii="仿宋" w:eastAsia="仿宋" w:hAnsi="仿宋" w:cs="仿宋" w:hint="eastAsia"/>
          <w:sz w:val="32"/>
          <w:szCs w:val="32"/>
        </w:rPr>
        <w:t xml:space="preserve">           中共内蒙古自治区文化和旅游厅机关委员会</w:t>
      </w:r>
    </w:p>
    <w:p w14:paraId="2E64E07D" w14:textId="77777777" w:rsidR="000374E3" w:rsidRDefault="000374E3" w:rsidP="000374E3">
      <w:pPr>
        <w:pBdr>
          <w:bottom w:val="single" w:sz="4" w:space="31" w:color="FFFFFF"/>
        </w:pBdr>
        <w:tabs>
          <w:tab w:val="left" w:pos="2700"/>
          <w:tab w:val="left" w:pos="2996"/>
          <w:tab w:val="left" w:pos="8640"/>
        </w:tabs>
        <w:spacing w:line="560" w:lineRule="exact"/>
        <w:ind w:firstLine="655"/>
        <w:rPr>
          <w:rFonts w:ascii="仿宋" w:eastAsia="仿宋" w:hAnsi="仿宋" w:cs="仿宋" w:hint="eastAsia"/>
          <w:sz w:val="32"/>
          <w:szCs w:val="32"/>
        </w:rPr>
      </w:pPr>
      <w:r>
        <w:rPr>
          <w:rFonts w:ascii="仿宋" w:eastAsia="仿宋" w:hAnsi="仿宋" w:cs="仿宋" w:hint="eastAsia"/>
          <w:sz w:val="32"/>
          <w:szCs w:val="32"/>
        </w:rPr>
        <w:t xml:space="preserve">                      2022年12月10日</w:t>
      </w:r>
    </w:p>
    <w:p w14:paraId="6F04EAAF" w14:textId="77777777" w:rsidR="000374E3" w:rsidRDefault="000374E3" w:rsidP="000374E3">
      <w:pPr>
        <w:rPr>
          <w:rFonts w:hint="eastAsia"/>
        </w:rPr>
      </w:pPr>
    </w:p>
    <w:p w14:paraId="7B430C28" w14:textId="77777777" w:rsidR="000374E3" w:rsidRDefault="000374E3"/>
    <w:sectPr w:rsidR="000374E3" w:rsidSect="000374E3">
      <w:footerReference w:type="default" r:id="rId5"/>
      <w:pgSz w:w="11906" w:h="16838"/>
      <w:pgMar w:top="2098" w:right="1474" w:bottom="1984" w:left="1587" w:header="851" w:footer="992" w:gutter="0"/>
      <w:pgNumType w:fmt="numberInDash"/>
      <w:cols w:space="0"/>
      <w:docGrid w:type="linesAndChars" w:linePitch="439" w:charSpace="1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AB922" w14:textId="77777777" w:rsidR="0068727F" w:rsidRDefault="0068727F">
    <w:pPr>
      <w:pStyle w:val="a3"/>
      <w:rPr>
        <w:rFonts w:hint="eastAsia"/>
      </w:rPr>
    </w:pPr>
    <w:r>
      <w:rPr>
        <w:noProof/>
      </w:rPr>
      <mc:AlternateContent>
        <mc:Choice Requires="wps">
          <w:drawing>
            <wp:anchor distT="0" distB="0" distL="114300" distR="114300" simplePos="0" relativeHeight="251659264" behindDoc="0" locked="0" layoutInCell="1" allowOverlap="1" wp14:anchorId="5D8777A6" wp14:editId="3105FD16">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AC1C29" w14:textId="77777777" w:rsidR="0068727F" w:rsidRDefault="0068727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- 5 -</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8777A6"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AAC1C29" w14:textId="77777777" w:rsidR="0068727F" w:rsidRDefault="0068727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- 5 -</w:t>
                    </w:r>
                    <w:r>
                      <w:rPr>
                        <w:rFonts w:hint="eastAsia"/>
                        <w:sz w:val="18"/>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4E3"/>
    <w:rsid w:val="000374E3"/>
    <w:rsid w:val="00CD4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6DE57"/>
  <w15:chartTrackingRefBased/>
  <w15:docId w15:val="{63E92517-5BCD-4D72-8409-4841CD859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74E3"/>
    <w:pPr>
      <w:widowControl w:val="0"/>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rsid w:val="000374E3"/>
    <w:pPr>
      <w:tabs>
        <w:tab w:val="center" w:pos="4153"/>
        <w:tab w:val="right" w:pos="8306"/>
      </w:tabs>
      <w:snapToGrid w:val="0"/>
      <w:jc w:val="left"/>
    </w:pPr>
    <w:rPr>
      <w:sz w:val="18"/>
    </w:rPr>
  </w:style>
  <w:style w:type="character" w:customStyle="1" w:styleId="a4">
    <w:name w:val="页脚 字符"/>
    <w:basedOn w:val="a0"/>
    <w:link w:val="a3"/>
    <w:qFormat/>
    <w:rsid w:val="000374E3"/>
    <w:rPr>
      <w:sz w:val="18"/>
      <w:szCs w:val="24"/>
      <w14:ligatures w14:val="none"/>
    </w:rPr>
  </w:style>
  <w:style w:type="character" w:styleId="a5">
    <w:name w:val="Hyperlink"/>
    <w:basedOn w:val="a0"/>
    <w:qFormat/>
    <w:rsid w:val="000374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yperlink" Target="http://www.5ykj.com/Articl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398</Words>
  <Characters>2275</Characters>
  <Application>Microsoft Office Word</Application>
  <DocSecurity>0</DocSecurity>
  <Lines>18</Lines>
  <Paragraphs>5</Paragraphs>
  <ScaleCrop>false</ScaleCrop>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zhiqiang sun</dc:creator>
  <cp:keywords/>
  <dc:description/>
  <cp:lastModifiedBy>zhiqiang sun</cp:lastModifiedBy>
  <cp:revision>2</cp:revision>
  <dcterms:created xsi:type="dcterms:W3CDTF">2024-12-16T09:10:00Z</dcterms:created>
  <dcterms:modified xsi:type="dcterms:W3CDTF">2024-12-16T09:10:00Z</dcterms:modified>
</cp:coreProperties>
</file>